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747A" w14:textId="7F60FB45" w:rsidR="004A034A" w:rsidRPr="00715552" w:rsidRDefault="00787413" w:rsidP="006F1F00">
      <w:pPr>
        <w:pStyle w:val="Geenafstand"/>
      </w:pPr>
      <w:r w:rsidRPr="00787413">
        <w:rPr>
          <w:b/>
          <w:noProof/>
          <w:u w:val="single"/>
          <w:lang w:eastAsia="nl-NL"/>
        </w:rPr>
        <mc:AlternateContent>
          <mc:Choice Requires="wps">
            <w:drawing>
              <wp:anchor distT="45720" distB="45720" distL="114300" distR="114300" simplePos="0" relativeHeight="251658240" behindDoc="0" locked="0" layoutInCell="1" allowOverlap="1" wp14:anchorId="46948047" wp14:editId="38520C3F">
                <wp:simplePos x="0" y="0"/>
                <wp:positionH relativeFrom="column">
                  <wp:posOffset>3348355</wp:posOffset>
                </wp:positionH>
                <wp:positionV relativeFrom="paragraph">
                  <wp:posOffset>-242570</wp:posOffset>
                </wp:positionV>
                <wp:extent cx="1402080" cy="350520"/>
                <wp:effectExtent l="0" t="0" r="2667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22FC3812" w14:textId="77777777" w:rsidR="00787413" w:rsidRDefault="00787413">
                            <w:r>
                              <w:t>Bijlage N-18-15820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48047" id="_x0000_t202" coordsize="21600,21600" o:spt="202" path="m,l,21600r21600,l21600,xe">
                <v:stroke joinstyle="miter"/>
                <v:path gradientshapeok="t" o:connecttype="rect"/>
              </v:shapetype>
              <v:shape id="Tekstvak 2" o:spid="_x0000_s1026" type="#_x0000_t202" style="position:absolute;margin-left:263.65pt;margin-top:-19.1pt;width:110.4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">
                <v:textbox>
                  <w:txbxContent>
                    <w:p w14:paraId="22FC3812" w14:textId="77777777" w:rsidR="00787413" w:rsidRDefault="00787413">
                      <w:r>
                        <w:t>Bijlage N-18-15820</w:t>
                      </w:r>
                    </w:p>
                  </w:txbxContent>
                </v:textbox>
                <w10:wrap type="square"/>
              </v:shape>
            </w:pict>
          </mc:Fallback>
        </mc:AlternateContent>
      </w:r>
      <w:r w:rsidR="00CD4C39">
        <w:rPr>
          <w:b/>
          <w:u w:val="single"/>
        </w:rPr>
        <w:t>BIJLAGE 2</w:t>
      </w:r>
      <w:r w:rsidR="008E080B">
        <w:rPr>
          <w:b/>
          <w:u w:val="single"/>
        </w:rPr>
        <w:t>:</w:t>
      </w:r>
      <w:r w:rsidR="00CD4C39">
        <w:rPr>
          <w:b/>
          <w:u w:val="single"/>
        </w:rPr>
        <w:t xml:space="preserve"> </w:t>
      </w:r>
      <w:r w:rsidR="008F1FF9">
        <w:rPr>
          <w:b/>
          <w:u w:val="single"/>
        </w:rPr>
        <w:t>Uniforme</w:t>
      </w:r>
      <w:r w:rsidR="003E1D41" w:rsidRPr="006528E5">
        <w:rPr>
          <w:b/>
          <w:u w:val="single"/>
        </w:rPr>
        <w:t xml:space="preserve"> Declaratie</w:t>
      </w:r>
      <w:r w:rsidR="00D17778">
        <w:rPr>
          <w:b/>
          <w:u w:val="single"/>
        </w:rPr>
        <w:t>paragraaf</w:t>
      </w:r>
      <w:r w:rsidR="0086468F">
        <w:rPr>
          <w:b/>
          <w:u w:val="single"/>
        </w:rPr>
        <w:t xml:space="preserve"> versie </w:t>
      </w:r>
      <w:r w:rsidR="009E093E">
        <w:rPr>
          <w:b/>
          <w:u w:val="single"/>
        </w:rPr>
        <w:t>1.</w:t>
      </w:r>
      <w:r w:rsidR="0086468F">
        <w:rPr>
          <w:b/>
          <w:u w:val="single"/>
        </w:rPr>
        <w:t>0.</w:t>
      </w:r>
      <w:r w:rsidR="00BA4C74">
        <w:rPr>
          <w:b/>
          <w:u w:val="single"/>
        </w:rPr>
        <w:t xml:space="preserve"> </w:t>
      </w:r>
      <w:r w:rsidR="006D7508">
        <w:rPr>
          <w:b/>
          <w:u w:val="single"/>
        </w:rPr>
        <w:br/>
      </w:r>
      <w:r w:rsidR="004A034A" w:rsidRPr="00715552">
        <w:rPr>
          <w:color w:val="FFFFFF" w:themeColor="background1"/>
        </w:rPr>
        <w:t>ZKH</w:t>
      </w:r>
      <w:r w:rsidR="006D7508">
        <w:rPr>
          <w:b/>
          <w:u w:val="single"/>
        </w:rPr>
        <w:br/>
      </w:r>
    </w:p>
    <w:p w14:paraId="5657C752" w14:textId="77777777" w:rsidR="00715552" w:rsidRPr="00715552" w:rsidRDefault="00715552" w:rsidP="006F1F00">
      <w:pPr>
        <w:pStyle w:val="Geenafstand"/>
      </w:pPr>
    </w:p>
    <w:p w14:paraId="19873E2D" w14:textId="57D30AF2" w:rsidR="006F1F00" w:rsidRDefault="006F1F00" w:rsidP="006F1F00">
      <w:pPr>
        <w:pStyle w:val="Geenafstand"/>
        <w:rPr>
          <w:i/>
        </w:rPr>
      </w:pPr>
      <w:r w:rsidRPr="0091310E">
        <w:rPr>
          <w:i/>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40FFCD3A" w14:textId="77777777" w:rsidR="002A712D" w:rsidRPr="006528E5" w:rsidRDefault="002A712D" w:rsidP="003E1D41">
      <w:pPr>
        <w:pStyle w:val="Geenafstand"/>
        <w:rPr>
          <w:b/>
          <w:u w:val="single"/>
        </w:rPr>
      </w:pPr>
    </w:p>
    <w:p w14:paraId="3070F6E0"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78BBA9D1"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526EAAD7" w14:textId="43972751"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w:t>
      </w:r>
      <w:r w:rsidR="00A21F0D">
        <w:rPr>
          <w:rFonts w:cs="Arial"/>
          <w:b/>
          <w:bCs/>
          <w:lang w:eastAsia="en-US"/>
        </w:rPr>
        <w:t>t</w:t>
      </w:r>
    </w:p>
    <w:p w14:paraId="7A9CD3F1"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6D7BBC95"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3EFEA008"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494E2F25"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577368EB"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018CEE58"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16A059D2" w14:textId="77777777" w:rsidR="006D7508" w:rsidRDefault="006D7508" w:rsidP="00F25306">
      <w:pPr>
        <w:pStyle w:val="Geenafstand"/>
        <w:spacing w:line="280" w:lineRule="atLeast"/>
        <w:rPr>
          <w:b/>
        </w:rPr>
      </w:pPr>
    </w:p>
    <w:p w14:paraId="20A29B71" w14:textId="77777777" w:rsidR="006528E5" w:rsidRDefault="006528E5" w:rsidP="00F25306">
      <w:pPr>
        <w:pStyle w:val="Geenafstand"/>
        <w:spacing w:line="280" w:lineRule="atLeast"/>
      </w:pPr>
    </w:p>
    <w:p w14:paraId="19320E57" w14:textId="77777777" w:rsidR="006528E5" w:rsidRDefault="006528E5" w:rsidP="00F25306">
      <w:pPr>
        <w:pStyle w:val="Geenafstand"/>
        <w:spacing w:line="280" w:lineRule="atLeast"/>
        <w:rPr>
          <w:b/>
        </w:rPr>
      </w:pPr>
      <w:bookmarkStart w:id="0" w:name="_Hlk505853951"/>
      <w:r w:rsidRPr="006528E5">
        <w:rPr>
          <w:b/>
        </w:rPr>
        <w:t xml:space="preserve">Artikel 1 </w:t>
      </w:r>
      <w:r w:rsidR="00F402D1">
        <w:rPr>
          <w:b/>
        </w:rPr>
        <w:tab/>
      </w:r>
      <w:r w:rsidRPr="006528E5">
        <w:rPr>
          <w:b/>
        </w:rPr>
        <w:t>Algemeen</w:t>
      </w:r>
    </w:p>
    <w:bookmarkEnd w:id="0"/>
    <w:p w14:paraId="305CD7FE" w14:textId="77777777" w:rsidR="006528E5" w:rsidRDefault="006528E5" w:rsidP="00F25306">
      <w:pPr>
        <w:pStyle w:val="Geenafstand"/>
        <w:spacing w:line="280" w:lineRule="atLeast"/>
        <w:rPr>
          <w:b/>
        </w:rPr>
      </w:pPr>
    </w:p>
    <w:p w14:paraId="74D6E5D4"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733BE133"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5B3B4867"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0C558065"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472B6886"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6755C19B"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5FF14AD9"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46D1441E" w14:textId="77777777" w:rsidR="00F402D1" w:rsidRDefault="00F402D1" w:rsidP="00F25306">
      <w:pPr>
        <w:pStyle w:val="Geenafstand"/>
        <w:spacing w:line="280" w:lineRule="atLeast"/>
        <w:ind w:left="360"/>
        <w:rPr>
          <w:b/>
        </w:rPr>
      </w:pPr>
    </w:p>
    <w:p w14:paraId="652F1235" w14:textId="77777777" w:rsidR="00C118F0" w:rsidRDefault="00C118F0" w:rsidP="00F25306">
      <w:pPr>
        <w:keepNext/>
        <w:keepLines/>
        <w:spacing w:before="120"/>
        <w:ind w:right="0"/>
        <w:outlineLvl w:val="0"/>
        <w:rPr>
          <w:rFonts w:cs="Arial"/>
          <w:b/>
          <w:bCs/>
          <w:lang w:val="x-none" w:eastAsia="en-US"/>
        </w:rPr>
      </w:pPr>
      <w:bookmarkStart w:id="1" w:name="_Hlk505853982"/>
      <w:r>
        <w:rPr>
          <w:rFonts w:cs="Arial"/>
          <w:b/>
          <w:bCs/>
          <w:lang w:val="x-none" w:eastAsia="en-US"/>
        </w:rPr>
        <w:t>Artikel 2</w:t>
      </w:r>
      <w:r>
        <w:rPr>
          <w:rFonts w:cs="Arial"/>
          <w:b/>
          <w:bCs/>
          <w:lang w:val="x-none" w:eastAsia="en-US"/>
        </w:rPr>
        <w:tab/>
        <w:t>Controle verzekeringsrecht en BSN</w:t>
      </w:r>
    </w:p>
    <w:bookmarkEnd w:id="1"/>
    <w:p w14:paraId="59DA56E4" w14:textId="77777777" w:rsidR="00C118F0" w:rsidRDefault="00C118F0" w:rsidP="00F25306">
      <w:pPr>
        <w:ind w:right="0"/>
        <w:rPr>
          <w:rFonts w:cs="Arial"/>
          <w:lang w:eastAsia="en-US"/>
        </w:rPr>
      </w:pPr>
    </w:p>
    <w:p w14:paraId="2844484A"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5E960218"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3BDB29F0"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61E4A025"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1AE0A1FB"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36B2DB4C" w14:textId="77777777" w:rsidR="00C118F0" w:rsidRDefault="00133D48" w:rsidP="00F25306">
      <w:pPr>
        <w:ind w:left="357" w:right="0"/>
        <w:rPr>
          <w:rFonts w:cs="Arial"/>
          <w:lang w:val="x-none" w:eastAsia="en-US"/>
        </w:rPr>
      </w:pPr>
      <w:r>
        <w:rPr>
          <w:rFonts w:cs="Arial"/>
          <w:lang w:eastAsia="en-US"/>
        </w:rPr>
        <w:t>Uitzondering hierop geldt bij een acute situatie. In voorkomende gevallen dient dit door de zorgaanbieder aangetoond te worden.</w:t>
      </w:r>
    </w:p>
    <w:p w14:paraId="0693C688" w14:textId="77777777" w:rsidR="00C118F0" w:rsidRDefault="00C118F0" w:rsidP="00F25306">
      <w:pPr>
        <w:numPr>
          <w:ilvl w:val="0"/>
          <w:numId w:val="6"/>
        </w:numPr>
        <w:ind w:left="357" w:right="0" w:hanging="357"/>
        <w:rPr>
          <w:rFonts w:cs="Arial"/>
          <w:lang w:val="x-none" w:eastAsia="en-US"/>
        </w:rPr>
      </w:pPr>
      <w:r>
        <w:rPr>
          <w:rFonts w:cs="Arial"/>
          <w:lang w:val="x-none" w:eastAsia="en-US"/>
        </w:rPr>
        <w:t xml:space="preserve">Een COV-bericht via VECOZO dient in overeenstemming te zijn met de meest recente </w:t>
      </w:r>
    </w:p>
    <w:p w14:paraId="6E3413AA"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5EE34CCE" w14:textId="77777777" w:rsidR="00C118F0" w:rsidRDefault="00C118F0" w:rsidP="00F25306">
      <w:pPr>
        <w:numPr>
          <w:ilvl w:val="0"/>
          <w:numId w:val="6"/>
        </w:numPr>
        <w:ind w:left="357" w:right="0" w:hanging="357"/>
        <w:rPr>
          <w:rFonts w:cs="Arial"/>
          <w:lang w:val="x-none" w:eastAsia="en-US"/>
        </w:rPr>
      </w:pPr>
      <w:r>
        <w:rPr>
          <w:rFonts w:cs="Arial"/>
          <w:lang w:val="x-none" w:eastAsia="en-US"/>
        </w:rPr>
        <w:lastRenderedPageBreak/>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 xml:space="preserve">patiënt </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510651FA" w14:textId="0480E731" w:rsidR="00EB46DA" w:rsidRPr="00EB46DA" w:rsidRDefault="00C118F0" w:rsidP="00F25306">
      <w:pPr>
        <w:numPr>
          <w:ilvl w:val="0"/>
          <w:numId w:val="6"/>
        </w:numPr>
        <w:tabs>
          <w:tab w:val="left" w:pos="397"/>
        </w:tabs>
        <w:ind w:left="357" w:right="0" w:hanging="357"/>
        <w:rPr>
          <w:rFonts w:ascii="Verdana" w:hAnsi="Verdana"/>
          <w:sz w:val="18"/>
          <w:szCs w:val="18"/>
        </w:rPr>
      </w:pPr>
      <w:r w:rsidRPr="00EB46DA">
        <w:rPr>
          <w:rFonts w:cs="Arial"/>
          <w:lang w:val="x-none" w:eastAsia="en-US"/>
        </w:rPr>
        <w:t xml:space="preserve">Bij twijfel over de identiteit van de </w:t>
      </w:r>
      <w:r w:rsidR="001609C9">
        <w:rPr>
          <w:rFonts w:cs="Arial"/>
          <w:lang w:eastAsia="en-US"/>
        </w:rPr>
        <w:t>patiënt</w:t>
      </w:r>
      <w:r w:rsidRPr="00EB46DA">
        <w:rPr>
          <w:rFonts w:cs="Arial"/>
          <w:lang w:val="x-none" w:eastAsia="en-US"/>
        </w:rPr>
        <w:t xml:space="preserve"> of wanneer er gerichte aanwijzingen zijn voor fraude, wordt </w:t>
      </w:r>
      <w:r w:rsidR="000D1ABF">
        <w:rPr>
          <w:rFonts w:cs="Arial"/>
          <w:lang w:eastAsia="en-US"/>
        </w:rPr>
        <w:t xml:space="preserve">door de zorgaanbieder </w:t>
      </w:r>
      <w:r w:rsidRPr="00EB46DA">
        <w:rPr>
          <w:rFonts w:cs="Arial"/>
          <w:lang w:val="x-none" w:eastAsia="en-US"/>
        </w:rPr>
        <w:t>een melding gedaan bij de afdeling fraude van de zorgverzekeraar.</w:t>
      </w:r>
      <w:r w:rsidR="006A5D5B">
        <w:rPr>
          <w:rFonts w:cs="Arial"/>
          <w:lang w:val="x-none" w:eastAsia="en-US"/>
        </w:rPr>
        <w:br/>
      </w:r>
    </w:p>
    <w:p w14:paraId="7A83C72C" w14:textId="77777777" w:rsidR="00AD40F8" w:rsidRDefault="00AD40F8" w:rsidP="00F25306">
      <w:pPr>
        <w:keepNext/>
        <w:keepLines/>
        <w:spacing w:before="120"/>
        <w:ind w:right="0"/>
        <w:outlineLvl w:val="0"/>
        <w:rPr>
          <w:rFonts w:cs="Arial"/>
          <w:b/>
          <w:bCs/>
          <w:lang w:val="x-none" w:eastAsia="en-US"/>
        </w:rPr>
      </w:pPr>
      <w:bookmarkStart w:id="2" w:name="_Hlk505854053"/>
      <w:r>
        <w:rPr>
          <w:rFonts w:cs="Arial"/>
          <w:b/>
          <w:bCs/>
          <w:lang w:val="x-none" w:eastAsia="en-US"/>
        </w:rPr>
        <w:t>Artikel 3</w:t>
      </w:r>
      <w:r>
        <w:rPr>
          <w:rFonts w:cs="Arial"/>
          <w:b/>
          <w:bCs/>
          <w:lang w:val="x-none" w:eastAsia="en-US"/>
        </w:rPr>
        <w:tab/>
        <w:t xml:space="preserve">Declareren </w:t>
      </w:r>
    </w:p>
    <w:bookmarkEnd w:id="2"/>
    <w:p w14:paraId="2C7CDDA5" w14:textId="77777777" w:rsidR="00AD40F8" w:rsidRDefault="00AD40F8" w:rsidP="00F25306">
      <w:pPr>
        <w:ind w:right="0"/>
        <w:rPr>
          <w:rFonts w:cs="Arial"/>
          <w:lang w:eastAsia="en-US"/>
        </w:rPr>
      </w:pPr>
    </w:p>
    <w:p w14:paraId="4D4FC3C1"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0815A187"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declareert de in het kader van de op grond van deze overeenkomst verleende zorg</w:t>
      </w:r>
      <w:r w:rsidR="00AB4674">
        <w:rPr>
          <w:rFonts w:cs="Arial"/>
          <w:lang w:eastAsia="en-US"/>
        </w:rPr>
        <w:t xml:space="preserve"> </w:t>
      </w:r>
      <w:r>
        <w:rPr>
          <w:rFonts w:cs="Arial"/>
          <w:lang w:val="x-none" w:eastAsia="en-US"/>
        </w:rPr>
        <w:t>zonder tussenkomst van de verzekerde bij de zorgverzekeraar</w:t>
      </w:r>
      <w:r w:rsidR="00F44E38">
        <w:rPr>
          <w:rFonts w:cs="Arial"/>
          <w:lang w:eastAsia="en-US"/>
        </w:rPr>
        <w:t>.</w:t>
      </w:r>
      <w:r>
        <w:rPr>
          <w:rFonts w:cs="Arial"/>
          <w:lang w:val="x-none" w:eastAsia="en-US"/>
        </w:rPr>
        <w:t xml:space="preserve"> </w:t>
      </w:r>
      <w:r w:rsidRPr="00F44E38">
        <w:rPr>
          <w:rFonts w:cs="Arial"/>
          <w:strike/>
          <w:lang w:val="x-none" w:eastAsia="en-US"/>
        </w:rPr>
        <w:t xml:space="preserve">met uitzondering van de prestaties die zijn opgenomen in </w:t>
      </w:r>
      <w:r w:rsidRPr="00F44E38">
        <w:rPr>
          <w:rFonts w:cs="Arial"/>
          <w:strike/>
          <w:highlight w:val="yellow"/>
          <w:lang w:val="x-none" w:eastAsia="en-US"/>
        </w:rPr>
        <w:t>bijlage A.1 Uitgezonderde prestaties</w:t>
      </w:r>
      <w:r>
        <w:rPr>
          <w:rFonts w:cs="Arial"/>
          <w:color w:val="7030A0"/>
          <w:lang w:val="x-none" w:eastAsia="en-US"/>
        </w:rPr>
        <w:t xml:space="preserve">. </w:t>
      </w:r>
    </w:p>
    <w:p w14:paraId="40E2666D"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digitaal</w:t>
      </w:r>
      <w:r>
        <w:rPr>
          <w:rFonts w:cs="Arial"/>
          <w:lang w:val="x-none" w:eastAsia="en-US"/>
        </w:rPr>
        <w:t xml:space="preserve"> aangeleverd bij de zorgverzekeraar. </w:t>
      </w:r>
    </w:p>
    <w:p w14:paraId="488027C8"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778308BB"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78F2EF68" w14:textId="77777777"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 xml:space="preserve">Alleen declaraties die (deels) zijn afgewezen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6F1F00">
        <w:rPr>
          <w:rFonts w:cs="Arial"/>
          <w:lang w:eastAsia="en-US"/>
        </w:rPr>
        <w:t xml:space="preserve"> </w:t>
      </w:r>
      <w:r w:rsidR="00E64EBD" w:rsidRPr="00E64EBD">
        <w:rPr>
          <w:rFonts w:cs="Arial"/>
          <w:lang w:val="x-none" w:eastAsia="en-US"/>
        </w:rPr>
        <w:t>-</w:t>
      </w:r>
      <w:r w:rsidR="006F1F00">
        <w:rPr>
          <w:rFonts w:cs="Arial"/>
          <w:lang w:eastAsia="en-US"/>
        </w:rPr>
        <w:t xml:space="preserve"> </w:t>
      </w:r>
      <w:r w:rsidR="00E64EBD" w:rsidRPr="00E64EBD">
        <w:rPr>
          <w:rFonts w:cs="Arial"/>
          <w:lang w:val="x-none" w:eastAsia="en-US"/>
        </w:rPr>
        <w:t>voor zover hij redelijkerwijs over de informatie beschikt</w:t>
      </w:r>
      <w:r w:rsidR="006F1F00">
        <w:rPr>
          <w:rFonts w:cs="Arial"/>
          <w:lang w:eastAsia="en-US"/>
        </w:rPr>
        <w:t xml:space="preserve"> </w:t>
      </w:r>
      <w:r w:rsidR="00E64EBD" w:rsidRPr="00E64EBD">
        <w:rPr>
          <w:rFonts w:cs="Arial"/>
          <w:lang w:val="x-none" w:eastAsia="en-US"/>
        </w:rPr>
        <w: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1AD76431"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xml:space="preserve">) bevat tenminste een aantal gegevenselementen. Deze moeten voldoen aan de Nadere Regels die de </w:t>
      </w:r>
      <w:proofErr w:type="spellStart"/>
      <w:r>
        <w:rPr>
          <w:rFonts w:cs="Arial"/>
          <w:lang w:eastAsia="en-US"/>
        </w:rPr>
        <w:t>NZa</w:t>
      </w:r>
      <w:proofErr w:type="spellEnd"/>
      <w:r>
        <w:rPr>
          <w:rFonts w:cs="Arial"/>
          <w:lang w:eastAsia="en-US"/>
        </w:rPr>
        <w:t xml:space="preserve"> aan de informatieverplichting bij factureren stelt.</w:t>
      </w:r>
    </w:p>
    <w:p w14:paraId="542B6592" w14:textId="6031EF75" w:rsidR="00271E76" w:rsidRPr="004A034A"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76BC3F3B" w14:textId="77777777" w:rsidR="004A034A" w:rsidRDefault="004A034A" w:rsidP="004A034A">
      <w:pPr>
        <w:ind w:right="0"/>
        <w:rPr>
          <w:rFonts w:cs="Arial"/>
          <w:lang w:val="x-none" w:eastAsia="en-US"/>
        </w:rPr>
      </w:pPr>
    </w:p>
    <w:p w14:paraId="1FE46D9B"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194D8570"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4E04E105"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2C3953A9" w14:textId="77777777" w:rsidR="00026777" w:rsidRDefault="00026777" w:rsidP="00F25306">
      <w:pPr>
        <w:ind w:right="0"/>
        <w:rPr>
          <w:rFonts w:cs="Arial"/>
          <w:lang w:val="x-none" w:eastAsia="en-US"/>
        </w:rPr>
      </w:pPr>
    </w:p>
    <w:p w14:paraId="2E4B41E1" w14:textId="77777777" w:rsidR="00A521AC" w:rsidRPr="00DA7656" w:rsidRDefault="00A521AC" w:rsidP="00F25306">
      <w:pPr>
        <w:keepNext/>
        <w:keepLines/>
        <w:spacing w:before="120"/>
        <w:ind w:right="0"/>
        <w:outlineLvl w:val="0"/>
        <w:rPr>
          <w:rFonts w:cs="Arial"/>
          <w:b/>
          <w:bCs/>
          <w:lang w:val="x-none" w:eastAsia="en-US"/>
        </w:rPr>
      </w:pPr>
      <w:r>
        <w:rPr>
          <w:rFonts w:cs="Arial"/>
          <w:b/>
          <w:bCs/>
          <w:lang w:val="x-none" w:eastAsia="en-US"/>
        </w:rPr>
        <w:t>Artikel 4</w:t>
      </w:r>
      <w:r>
        <w:rPr>
          <w:rFonts w:cs="Arial"/>
          <w:b/>
          <w:bCs/>
          <w:lang w:val="x-none" w:eastAsia="en-US"/>
        </w:rPr>
        <w:tab/>
        <w:t>Declareren via derden</w:t>
      </w:r>
      <w:r w:rsidR="007038AC" w:rsidRPr="00DA7656">
        <w:rPr>
          <w:rFonts w:cs="Arial"/>
          <w:b/>
          <w:bCs/>
          <w:lang w:val="x-none" w:eastAsia="en-US"/>
        </w:rPr>
        <w:t xml:space="preserve"> </w:t>
      </w:r>
      <w:r w:rsidR="00051FFE" w:rsidRPr="00DA7656">
        <w:rPr>
          <w:rFonts w:cs="Arial"/>
          <w:bCs/>
          <w:lang w:val="x-none" w:eastAsia="en-US"/>
        </w:rPr>
        <w:t>(</w:t>
      </w:r>
      <w:r w:rsidR="007038AC" w:rsidRPr="00DA7656">
        <w:rPr>
          <w:rFonts w:cs="Arial"/>
          <w:bCs/>
          <w:lang w:val="x-none" w:eastAsia="en-US"/>
        </w:rPr>
        <w:t>voor zover van toepassing</w:t>
      </w:r>
      <w:r w:rsidR="00051FFE" w:rsidRPr="00DA7656">
        <w:rPr>
          <w:rFonts w:cs="Arial"/>
          <w:bCs/>
          <w:lang w:val="x-none" w:eastAsia="en-US"/>
        </w:rPr>
        <w:t>)</w:t>
      </w:r>
    </w:p>
    <w:p w14:paraId="182B1328" w14:textId="77777777" w:rsidR="00271E76" w:rsidRDefault="00271E76" w:rsidP="00F25306">
      <w:pPr>
        <w:ind w:right="0"/>
        <w:rPr>
          <w:rFonts w:cs="Arial"/>
          <w:b/>
          <w:bCs/>
          <w:lang w:val="x-none" w:eastAsia="en-US"/>
        </w:rPr>
      </w:pPr>
    </w:p>
    <w:p w14:paraId="478AA4C5"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2CDFFF19"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284A1A48"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3DDEF879"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2DEF1C44"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491C1C2B"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567171B1"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5923657F"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3DF99CF1" w14:textId="77777777" w:rsidR="006C3265" w:rsidRP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r w:rsidR="00106EE4" w:rsidRPr="00AC40C4">
        <w:rPr>
          <w:rFonts w:cs="Arial"/>
          <w:lang w:val="x-none" w:eastAsia="en-US"/>
        </w:rPr>
        <w:br/>
      </w:r>
    </w:p>
    <w:p w14:paraId="2C06A14B" w14:textId="77777777" w:rsidR="006C3265" w:rsidRDefault="006C3265" w:rsidP="00F25306">
      <w:pPr>
        <w:keepNext/>
        <w:keepLines/>
        <w:spacing w:before="120"/>
        <w:ind w:right="0"/>
        <w:outlineLvl w:val="0"/>
        <w:rPr>
          <w:rFonts w:cs="Arial"/>
          <w:b/>
          <w:bCs/>
          <w:lang w:val="x-none" w:eastAsia="en-US"/>
        </w:rPr>
      </w:pPr>
      <w:r>
        <w:rPr>
          <w:rFonts w:cs="Arial"/>
          <w:b/>
          <w:bCs/>
          <w:lang w:val="x-none" w:eastAsia="en-US"/>
        </w:rPr>
        <w:t>Artikel 5</w:t>
      </w:r>
      <w:r>
        <w:rPr>
          <w:rFonts w:cs="Arial"/>
          <w:b/>
          <w:bCs/>
          <w:lang w:val="x-none" w:eastAsia="en-US"/>
        </w:rPr>
        <w:tab/>
      </w:r>
      <w:proofErr w:type="spellStart"/>
      <w:r>
        <w:rPr>
          <w:rFonts w:cs="Arial"/>
          <w:b/>
          <w:bCs/>
          <w:lang w:val="x-none" w:eastAsia="en-US"/>
        </w:rPr>
        <w:t>Herdeclaraties</w:t>
      </w:r>
      <w:proofErr w:type="spellEnd"/>
      <w:r>
        <w:rPr>
          <w:rFonts w:cs="Arial"/>
          <w:b/>
          <w:bCs/>
          <w:lang w:val="x-none" w:eastAsia="en-US"/>
        </w:rPr>
        <w:t xml:space="preserve"> en correcties</w:t>
      </w:r>
    </w:p>
    <w:p w14:paraId="156688A0" w14:textId="77777777" w:rsidR="006C3265" w:rsidRDefault="006C3265" w:rsidP="00F25306">
      <w:pPr>
        <w:ind w:right="0"/>
        <w:rPr>
          <w:rFonts w:cs="Arial"/>
          <w:lang w:eastAsia="en-US"/>
        </w:rPr>
      </w:pPr>
    </w:p>
    <w:p w14:paraId="19941574" w14:textId="08E1DF6F"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D73992" w:rsidRPr="00D73992">
        <w:rPr>
          <w:rFonts w:cs="Arial"/>
          <w:highlight w:val="cyan"/>
          <w:lang w:val="nl-NL"/>
        </w:rPr>
        <w:t xml:space="preserve"> </w:t>
      </w:r>
      <w:r w:rsidR="00C05748">
        <w:rPr>
          <w:rFonts w:cs="Arial"/>
          <w:highlight w:val="cyan"/>
          <w:lang w:val="nl-NL"/>
        </w:rPr>
        <w:t>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6107C6E0" w14:textId="2ED2B192"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0A3B60D7" w14:textId="495EDE51" w:rsidR="004A034A" w:rsidRDefault="004A034A" w:rsidP="004A034A">
      <w:pPr>
        <w:ind w:right="0"/>
        <w:rPr>
          <w:rFonts w:cs="Arial"/>
          <w:lang w:val="x-none" w:eastAsia="en-US"/>
        </w:rPr>
      </w:pPr>
    </w:p>
    <w:p w14:paraId="57839A7F" w14:textId="77777777" w:rsidR="004A034A" w:rsidRDefault="004A034A" w:rsidP="004A034A">
      <w:pPr>
        <w:ind w:right="0"/>
        <w:rPr>
          <w:rFonts w:cs="Arial"/>
          <w:lang w:val="x-none" w:eastAsia="en-US"/>
        </w:rPr>
      </w:pPr>
    </w:p>
    <w:p w14:paraId="02656103"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06475735"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79E938AF"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03309DC2"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7B20E055" w14:textId="77777777" w:rsidR="00755E86" w:rsidRDefault="00066EED" w:rsidP="00F25306">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374B1A50"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1E69B5">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573D3C2A"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6339ED93" w14:textId="77777777" w:rsidR="006C3265" w:rsidRDefault="006C3265" w:rsidP="00F25306">
      <w:pPr>
        <w:ind w:right="0"/>
        <w:rPr>
          <w:rFonts w:cs="Arial"/>
          <w:lang w:val="x-none" w:eastAsia="en-US"/>
        </w:rPr>
      </w:pPr>
    </w:p>
    <w:p w14:paraId="405C03D5" w14:textId="77777777" w:rsidR="00F72693" w:rsidRDefault="00F72693" w:rsidP="00F25306">
      <w:pPr>
        <w:keepNext/>
        <w:keepLines/>
        <w:spacing w:before="120"/>
        <w:ind w:right="0"/>
        <w:outlineLvl w:val="0"/>
        <w:rPr>
          <w:rFonts w:cs="Arial"/>
          <w:b/>
          <w:bCs/>
          <w:lang w:val="x-none" w:eastAsia="en-US"/>
        </w:rPr>
      </w:pPr>
      <w:r>
        <w:rPr>
          <w:rFonts w:cs="Arial"/>
          <w:b/>
          <w:bCs/>
          <w:lang w:val="x-none" w:eastAsia="en-US"/>
        </w:rPr>
        <w:t>Artikel 6</w:t>
      </w:r>
      <w:r>
        <w:rPr>
          <w:rFonts w:cs="Arial"/>
          <w:b/>
          <w:bCs/>
          <w:lang w:val="x-none" w:eastAsia="en-US"/>
        </w:rPr>
        <w:tab/>
        <w:t>Betaling</w:t>
      </w:r>
    </w:p>
    <w:p w14:paraId="250BDDA5" w14:textId="77777777" w:rsidR="00F72693" w:rsidRDefault="00F72693" w:rsidP="00F25306">
      <w:pPr>
        <w:ind w:right="0"/>
        <w:rPr>
          <w:rFonts w:cs="Arial"/>
          <w:lang w:eastAsia="en-US"/>
        </w:rPr>
      </w:pPr>
    </w:p>
    <w:p w14:paraId="5342BF8F"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42BBA8C4"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34463C8C"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058D9C6E"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C80393">
        <w:rPr>
          <w:rFonts w:cs="Arial"/>
          <w:highlight w:val="cyan"/>
          <w:lang w:eastAsia="en-US"/>
        </w:rPr>
        <w:t>30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24B6EC13"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188B4CA7"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33085B8A"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62AC91CD"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1162490E"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029960ED"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51281879"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0A3FB287" w14:textId="77777777" w:rsidR="00D961E3" w:rsidRPr="00DA7656" w:rsidRDefault="00D961E3" w:rsidP="00F25306">
      <w:pPr>
        <w:keepNext/>
        <w:keepLines/>
        <w:spacing w:before="120"/>
        <w:ind w:right="0"/>
        <w:outlineLvl w:val="0"/>
        <w:rPr>
          <w:rFonts w:cs="Arial"/>
          <w:b/>
          <w:bCs/>
          <w:lang w:val="x-none" w:eastAsia="en-US"/>
        </w:rPr>
      </w:pPr>
      <w:r>
        <w:rPr>
          <w:rFonts w:cs="Arial"/>
          <w:b/>
          <w:bCs/>
          <w:lang w:val="x-none" w:eastAsia="en-US"/>
        </w:rPr>
        <w:t>Artikel 7</w:t>
      </w:r>
      <w:r>
        <w:rPr>
          <w:rFonts w:cs="Arial"/>
          <w:b/>
          <w:bCs/>
          <w:lang w:val="x-none" w:eastAsia="en-US"/>
        </w:rPr>
        <w:tab/>
      </w:r>
      <w:r w:rsidRPr="00DA7656">
        <w:rPr>
          <w:rFonts w:cs="Arial"/>
          <w:b/>
          <w:bCs/>
          <w:lang w:val="x-none" w:eastAsia="en-US"/>
        </w:rPr>
        <w:t>Retourinformatie</w:t>
      </w:r>
    </w:p>
    <w:p w14:paraId="48B0A3FC" w14:textId="77777777" w:rsidR="00D961E3" w:rsidRDefault="00D961E3" w:rsidP="00F25306">
      <w:pPr>
        <w:ind w:right="0"/>
        <w:rPr>
          <w:rFonts w:cs="Arial"/>
          <w:b/>
          <w:bCs/>
          <w:lang w:eastAsia="en-US"/>
        </w:rPr>
      </w:pPr>
    </w:p>
    <w:p w14:paraId="3B8FC434"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1566C793"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23030D39"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471F0DBC"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w:t>
      </w:r>
      <w:r w:rsidR="00C80393">
        <w:rPr>
          <w:rFonts w:cs="Arial"/>
          <w:highlight w:val="cyan"/>
          <w:lang w:eastAsia="en-US"/>
        </w:rPr>
        <w:t>3</w:t>
      </w:r>
      <w:r w:rsidR="002B1055">
        <w:rPr>
          <w:rFonts w:cs="Arial"/>
          <w:highlight w:val="cyan"/>
          <w:lang w:eastAsia="en-US"/>
        </w:rPr>
        <w:t>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0D5ED0D3" w14:textId="77777777" w:rsidR="00B66A25" w:rsidRDefault="00B66A25" w:rsidP="00F25306">
      <w:pPr>
        <w:ind w:right="0"/>
        <w:rPr>
          <w:rFonts w:cs="Arial"/>
          <w:lang w:val="x-none" w:eastAsia="en-US"/>
        </w:rPr>
      </w:pPr>
    </w:p>
    <w:p w14:paraId="097DD4DF" w14:textId="77777777" w:rsidR="00DE6FAF" w:rsidRPr="00DA7656" w:rsidRDefault="00DE6FAF" w:rsidP="00F25306">
      <w:pPr>
        <w:keepNext/>
        <w:keepLines/>
        <w:spacing w:before="120"/>
        <w:ind w:right="0"/>
        <w:outlineLvl w:val="0"/>
        <w:rPr>
          <w:rFonts w:cs="Arial"/>
          <w:b/>
          <w:bCs/>
          <w:lang w:val="x-none" w:eastAsia="en-US"/>
        </w:rPr>
      </w:pPr>
      <w:r w:rsidRPr="00DA7656">
        <w:rPr>
          <w:rFonts w:cs="Arial"/>
          <w:b/>
          <w:bCs/>
          <w:lang w:val="x-none" w:eastAsia="en-US"/>
        </w:rPr>
        <w:t>Artikel 8              Beheer en onderhoud gegevens in AGB en UZOVI</w:t>
      </w:r>
    </w:p>
    <w:p w14:paraId="3B5C148D" w14:textId="77777777" w:rsidR="00DE6FAF" w:rsidRPr="00DE6FAF" w:rsidRDefault="00DE6FAF" w:rsidP="00F25306">
      <w:pPr>
        <w:rPr>
          <w:sz w:val="22"/>
          <w:szCs w:val="22"/>
        </w:rPr>
      </w:pPr>
    </w:p>
    <w:p w14:paraId="568D3F23"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 xml:space="preserve">van </w:t>
      </w:r>
      <w:proofErr w:type="spellStart"/>
      <w:r w:rsidRPr="00DE6FAF">
        <w:rPr>
          <w:rFonts w:cs="Arial"/>
        </w:rPr>
        <w:t>Vektis</w:t>
      </w:r>
      <w:proofErr w:type="spellEnd"/>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03BBFA5C"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5D804A53" w14:textId="38ED3386"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1DB0471E"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 xml:space="preserve">en zijn raadpleegbaar via UZOVI-register van </w:t>
      </w:r>
      <w:proofErr w:type="spellStart"/>
      <w:r w:rsidRPr="00DE6FAF">
        <w:t>Vektis</w:t>
      </w:r>
      <w:proofErr w:type="spellEnd"/>
      <w:r w:rsidRPr="00DE6FAF">
        <w:rPr>
          <w:lang w:val="x-none"/>
        </w:rPr>
        <w:t>.</w:t>
      </w:r>
    </w:p>
    <w:p w14:paraId="0EA51222"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6DB559B9" w14:textId="77777777" w:rsidR="00B66A25" w:rsidRDefault="00B66A25" w:rsidP="00F25306">
      <w:pPr>
        <w:ind w:right="0"/>
        <w:rPr>
          <w:rFonts w:cs="Arial"/>
          <w:lang w:val="x-none" w:eastAsia="en-US"/>
        </w:rPr>
      </w:pPr>
    </w:p>
    <w:p w14:paraId="613FF0F6" w14:textId="77777777" w:rsidR="00B66A25" w:rsidRDefault="00B66A25" w:rsidP="00F25306">
      <w:pPr>
        <w:ind w:right="0"/>
        <w:rPr>
          <w:rFonts w:cs="Arial"/>
          <w:lang w:val="x-none" w:eastAsia="en-US"/>
        </w:rPr>
      </w:pPr>
    </w:p>
    <w:p w14:paraId="6D0BF6CA" w14:textId="77777777" w:rsidR="00B66A25" w:rsidRDefault="00B66A25" w:rsidP="00F25306">
      <w:pPr>
        <w:ind w:right="0"/>
        <w:rPr>
          <w:rFonts w:cs="Arial"/>
          <w:lang w:val="x-none" w:eastAsia="en-US"/>
        </w:rPr>
      </w:pPr>
    </w:p>
    <w:p w14:paraId="7EC011A0" w14:textId="77777777" w:rsidR="00B66A25" w:rsidRDefault="00977C8B" w:rsidP="00F25306">
      <w:pPr>
        <w:spacing w:after="160"/>
        <w:ind w:right="0"/>
        <w:rPr>
          <w:rFonts w:cs="Arial"/>
          <w:lang w:val="x-none" w:eastAsia="en-US"/>
        </w:rPr>
      </w:pPr>
      <w:r>
        <w:rPr>
          <w:rFonts w:cs="Arial"/>
          <w:lang w:val="x-none" w:eastAsia="en-US"/>
        </w:rPr>
        <w:br w:type="page"/>
      </w:r>
    </w:p>
    <w:p w14:paraId="2971145F" w14:textId="77777777" w:rsidR="00B66A25" w:rsidRPr="00B66A25" w:rsidRDefault="00B66A25" w:rsidP="00F25306">
      <w:pPr>
        <w:ind w:right="0"/>
        <w:rPr>
          <w:rFonts w:cs="Arial"/>
          <w:b/>
          <w:lang w:eastAsia="en-US"/>
        </w:rPr>
      </w:pPr>
      <w:r w:rsidRPr="00B66A25">
        <w:rPr>
          <w:rFonts w:cs="Arial"/>
          <w:b/>
          <w:lang w:eastAsia="en-US"/>
        </w:rPr>
        <w:lastRenderedPageBreak/>
        <w:t>Addendum</w:t>
      </w:r>
    </w:p>
    <w:p w14:paraId="7227540E"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69D08B3A" w14:textId="77777777" w:rsidR="00B66A25" w:rsidRPr="00B66A25" w:rsidRDefault="00B66A25" w:rsidP="00F25306">
      <w:pPr>
        <w:pStyle w:val="Lijstalinea"/>
        <w:ind w:left="360" w:right="0"/>
        <w:rPr>
          <w:rFonts w:cs="Arial"/>
          <w:lang w:eastAsia="en-US"/>
        </w:rPr>
      </w:pPr>
    </w:p>
    <w:p w14:paraId="007A30E0" w14:textId="77777777" w:rsidR="00EA2023" w:rsidRPr="00DE26EE" w:rsidRDefault="00B66A25" w:rsidP="00F25306">
      <w:pPr>
        <w:ind w:right="0"/>
        <w:rPr>
          <w:rFonts w:cs="Arial"/>
          <w:i/>
          <w:highlight w:val="yellow"/>
          <w:lang w:eastAsia="en-US"/>
        </w:rPr>
      </w:pPr>
      <w:r w:rsidRPr="00423888">
        <w:rPr>
          <w:rFonts w:cs="Arial"/>
          <w:lang w:eastAsia="en-US"/>
        </w:rPr>
        <w:t>[</w:t>
      </w:r>
      <w:r w:rsidR="00EA2023" w:rsidRPr="00DE26EE">
        <w:rPr>
          <w:rFonts w:cs="Arial"/>
          <w:i/>
          <w:highlight w:val="yellow"/>
          <w:lang w:eastAsia="en-US"/>
        </w:rPr>
        <w:t>Correcties.</w:t>
      </w:r>
    </w:p>
    <w:p w14:paraId="6AB1BE11"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3FD570F6" w14:textId="2880B3C5" w:rsidR="00EA2023" w:rsidRPr="00DE26EE" w:rsidRDefault="00EA2023" w:rsidP="00EA2023">
      <w:pPr>
        <w:ind w:right="0"/>
        <w:rPr>
          <w:rFonts w:cs="Arial"/>
          <w:highlight w:val="yellow"/>
          <w:lang w:eastAsia="en-US"/>
        </w:rPr>
      </w:pPr>
      <w:r w:rsidRPr="00DE26EE">
        <w:rPr>
          <w:rFonts w:cs="Arial"/>
          <w:highlight w:val="yellow"/>
          <w:lang w:eastAsia="en-US"/>
        </w:rPr>
        <w:t>Denkt u hierbij aan de maximale declaratietermijn van</w:t>
      </w:r>
      <w:r w:rsidR="00B210E1">
        <w:rPr>
          <w:rFonts w:cs="Arial"/>
          <w:highlight w:val="yellow"/>
          <w:lang w:eastAsia="en-US"/>
        </w:rPr>
        <w:t xml:space="preserve"> 30 dagen</w:t>
      </w:r>
      <w:r w:rsidRPr="00DE26EE">
        <w:rPr>
          <w:rFonts w:cs="Arial"/>
          <w:highlight w:val="yellow"/>
          <w:lang w:eastAsia="en-US"/>
        </w:rPr>
        <w:t>!</w:t>
      </w:r>
      <w:r w:rsidR="009B7CF9">
        <w:rPr>
          <w:rFonts w:cs="Arial"/>
          <w:highlight w:val="yellow"/>
          <w:lang w:eastAsia="en-US"/>
        </w:rPr>
        <w:t xml:space="preserve">] </w:t>
      </w:r>
    </w:p>
    <w:p w14:paraId="7A5B6A0D" w14:textId="77777777" w:rsidR="00EA2023" w:rsidRPr="00DE26EE" w:rsidRDefault="00EA2023" w:rsidP="00EA2023">
      <w:pPr>
        <w:ind w:right="0"/>
        <w:rPr>
          <w:rFonts w:cs="Arial"/>
          <w:highlight w:val="yellow"/>
          <w:lang w:eastAsia="en-US"/>
        </w:rPr>
      </w:pPr>
    </w:p>
    <w:p w14:paraId="20006903" w14:textId="77777777" w:rsidR="00EA2023" w:rsidRDefault="00EA2023" w:rsidP="00EA2023">
      <w:pPr>
        <w:ind w:right="0"/>
        <w:rPr>
          <w:rFonts w:cs="Arial"/>
          <w:lang w:eastAsia="en-US"/>
        </w:rPr>
      </w:pPr>
    </w:p>
    <w:p w14:paraId="4AC96E55" w14:textId="77777777" w:rsidR="00EA2023" w:rsidRDefault="00EA2023" w:rsidP="00EA2023">
      <w:pPr>
        <w:ind w:right="0"/>
        <w:rPr>
          <w:rFonts w:cs="Arial"/>
          <w:lang w:eastAsia="en-US"/>
        </w:rPr>
      </w:pPr>
    </w:p>
    <w:p w14:paraId="2C9A8F58" w14:textId="77777777" w:rsidR="00977C8B" w:rsidRDefault="00977C8B" w:rsidP="00F25306">
      <w:pPr>
        <w:ind w:right="0"/>
        <w:rPr>
          <w:rFonts w:cs="Arial"/>
          <w:lang w:eastAsia="en-US"/>
        </w:rPr>
      </w:pPr>
      <w:r>
        <w:rPr>
          <w:rFonts w:cs="Arial"/>
          <w:lang w:eastAsia="en-US"/>
        </w:rPr>
        <w:br/>
      </w:r>
    </w:p>
    <w:p w14:paraId="4079DBFD" w14:textId="77777777" w:rsidR="00977C8B" w:rsidRDefault="00977C8B" w:rsidP="00F25306">
      <w:pPr>
        <w:spacing w:after="160"/>
        <w:ind w:right="0"/>
        <w:rPr>
          <w:rFonts w:cs="Arial"/>
          <w:lang w:eastAsia="en-US"/>
        </w:rPr>
      </w:pPr>
    </w:p>
    <w:p w14:paraId="1DF95B85" w14:textId="77777777" w:rsidR="00B66A25" w:rsidRPr="00423888" w:rsidRDefault="00B66A25" w:rsidP="00F25306">
      <w:pPr>
        <w:ind w:right="0"/>
        <w:rPr>
          <w:rFonts w:cs="Arial"/>
          <w:lang w:eastAsia="en-US"/>
        </w:rPr>
      </w:pPr>
    </w:p>
    <w:p w14:paraId="0238B24B"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541CAAD5" w14:textId="77777777" w:rsidR="00B66A25" w:rsidRPr="00B66A25" w:rsidRDefault="00B66A25" w:rsidP="00F25306">
      <w:pPr>
        <w:pStyle w:val="Lijstalinea"/>
        <w:ind w:left="360" w:right="0"/>
        <w:rPr>
          <w:rFonts w:cs="Arial"/>
          <w:lang w:eastAsia="en-US"/>
        </w:rPr>
      </w:pPr>
    </w:p>
    <w:p w14:paraId="6AD28113" w14:textId="77777777" w:rsidR="00B66A25" w:rsidRPr="00F44E38" w:rsidRDefault="00B66A25" w:rsidP="00F25306">
      <w:pPr>
        <w:pStyle w:val="Lijstalinea"/>
        <w:ind w:left="360" w:right="0"/>
        <w:rPr>
          <w:rFonts w:cs="Arial"/>
          <w:b/>
          <w:strike/>
          <w:lang w:eastAsia="en-US"/>
        </w:rPr>
      </w:pPr>
      <w:r w:rsidRPr="00F44E38">
        <w:rPr>
          <w:rFonts w:cs="Arial"/>
          <w:b/>
          <w:strike/>
          <w:lang w:eastAsia="en-US"/>
        </w:rPr>
        <w:t>A.1: Uitgezonderde prestaties</w:t>
      </w:r>
    </w:p>
    <w:p w14:paraId="28AEA2A0" w14:textId="77777777" w:rsidR="00B66A25" w:rsidRPr="00F44E38" w:rsidRDefault="00B66A25" w:rsidP="00F25306">
      <w:pPr>
        <w:ind w:left="360" w:right="0"/>
        <w:rPr>
          <w:rFonts w:cs="Arial"/>
          <w:b/>
          <w:strike/>
          <w:lang w:eastAsia="en-US"/>
        </w:rPr>
      </w:pPr>
    </w:p>
    <w:p w14:paraId="4EA19D2E" w14:textId="77777777" w:rsidR="00B66A25" w:rsidRPr="00F44E38" w:rsidRDefault="00B66A25" w:rsidP="00F25306">
      <w:pPr>
        <w:ind w:left="360" w:right="0"/>
        <w:rPr>
          <w:rFonts w:cs="Arial"/>
          <w:strike/>
          <w:lang w:eastAsia="en-US"/>
        </w:rPr>
      </w:pPr>
      <w:r w:rsidRPr="00F44E38">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F44E38" w14:paraId="430D6C01" w14:textId="77777777" w:rsidTr="009A33E1">
        <w:tc>
          <w:tcPr>
            <w:tcW w:w="3936" w:type="dxa"/>
            <w:shd w:val="clear" w:color="auto" w:fill="808080"/>
          </w:tcPr>
          <w:p w14:paraId="2917CB5F" w14:textId="77777777" w:rsidR="00B66A25" w:rsidRPr="00F44E38" w:rsidRDefault="00B66A25" w:rsidP="00F25306">
            <w:pPr>
              <w:ind w:left="360" w:right="0"/>
              <w:rPr>
                <w:rFonts w:cs="Arial"/>
                <w:b/>
                <w:strike/>
                <w:color w:val="FFFFFF"/>
                <w:lang w:eastAsia="en-US"/>
              </w:rPr>
            </w:pPr>
            <w:r w:rsidRPr="00F44E38">
              <w:rPr>
                <w:rFonts w:cs="Arial"/>
                <w:b/>
                <w:strike/>
                <w:color w:val="FFFFFF"/>
                <w:lang w:eastAsia="en-US"/>
              </w:rPr>
              <w:t>Prestatiecode/Declaratiecode</w:t>
            </w:r>
          </w:p>
        </w:tc>
        <w:tc>
          <w:tcPr>
            <w:tcW w:w="4536" w:type="dxa"/>
            <w:shd w:val="clear" w:color="auto" w:fill="808080"/>
          </w:tcPr>
          <w:p w14:paraId="10E1D74D" w14:textId="77777777" w:rsidR="00B66A25" w:rsidRPr="00F44E38" w:rsidRDefault="00B66A25" w:rsidP="00F25306">
            <w:pPr>
              <w:ind w:left="360" w:right="0"/>
              <w:rPr>
                <w:rFonts w:cs="Arial"/>
                <w:b/>
                <w:strike/>
                <w:color w:val="FFFFFF"/>
                <w:lang w:eastAsia="en-US"/>
              </w:rPr>
            </w:pPr>
            <w:r w:rsidRPr="00F44E38">
              <w:rPr>
                <w:rFonts w:cs="Arial"/>
                <w:b/>
                <w:strike/>
                <w:color w:val="FFFFFF"/>
                <w:lang w:eastAsia="en-US"/>
              </w:rPr>
              <w:t>Omschrijving/toelichting</w:t>
            </w:r>
          </w:p>
        </w:tc>
      </w:tr>
      <w:tr w:rsidR="00B66A25" w:rsidRPr="00F44E38" w14:paraId="3A2092EB" w14:textId="77777777" w:rsidTr="009A33E1">
        <w:tc>
          <w:tcPr>
            <w:tcW w:w="3936" w:type="dxa"/>
            <w:shd w:val="pct12" w:color="auto" w:fill="auto"/>
          </w:tcPr>
          <w:p w14:paraId="74F543B1" w14:textId="77777777" w:rsidR="00B66A25" w:rsidRPr="00F44E38" w:rsidRDefault="00B66A25" w:rsidP="00F25306">
            <w:pPr>
              <w:ind w:left="360" w:right="0"/>
              <w:rPr>
                <w:rFonts w:cs="Arial"/>
                <w:strike/>
                <w:lang w:eastAsia="en-US"/>
              </w:rPr>
            </w:pPr>
          </w:p>
        </w:tc>
        <w:tc>
          <w:tcPr>
            <w:tcW w:w="4536" w:type="dxa"/>
            <w:shd w:val="pct12" w:color="auto" w:fill="auto"/>
          </w:tcPr>
          <w:p w14:paraId="0032DBA2" w14:textId="77777777" w:rsidR="00B66A25" w:rsidRPr="00F44E38" w:rsidRDefault="00B66A25" w:rsidP="00F25306">
            <w:pPr>
              <w:ind w:left="360" w:right="0"/>
              <w:rPr>
                <w:rFonts w:cs="Arial"/>
                <w:strike/>
                <w:lang w:eastAsia="en-US"/>
              </w:rPr>
            </w:pPr>
          </w:p>
        </w:tc>
      </w:tr>
    </w:tbl>
    <w:p w14:paraId="0EB11CA3" w14:textId="77777777" w:rsidR="00B66A25" w:rsidRPr="00423888" w:rsidRDefault="00B66A25" w:rsidP="00F25306">
      <w:pPr>
        <w:ind w:left="360" w:right="0"/>
        <w:rPr>
          <w:rFonts w:cs="Arial"/>
          <w:b/>
          <w:lang w:eastAsia="en-US"/>
        </w:rPr>
      </w:pPr>
    </w:p>
    <w:p w14:paraId="3BA46438" w14:textId="77777777" w:rsidR="00B66A25" w:rsidRPr="00423888" w:rsidRDefault="00B66A25" w:rsidP="00F25306">
      <w:pPr>
        <w:ind w:left="360" w:right="0"/>
        <w:rPr>
          <w:rFonts w:cs="Arial"/>
          <w:b/>
          <w:lang w:eastAsia="en-US"/>
        </w:rPr>
      </w:pPr>
    </w:p>
    <w:p w14:paraId="2CA58B5E"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65E05283" w14:textId="77777777" w:rsidR="00B66A25" w:rsidRPr="00423888" w:rsidRDefault="00B66A25" w:rsidP="00F25306">
      <w:pPr>
        <w:ind w:left="360" w:right="0"/>
        <w:rPr>
          <w:rFonts w:cs="Arial"/>
          <w:b/>
          <w:lang w:eastAsia="en-US"/>
        </w:rPr>
      </w:pPr>
    </w:p>
    <w:p w14:paraId="69CA62B9"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143A4C12"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642575" w:rsidRPr="00012360" w14:paraId="34CF30C8" w14:textId="77777777" w:rsidTr="00642575">
        <w:tc>
          <w:tcPr>
            <w:tcW w:w="3936" w:type="dxa"/>
            <w:tcBorders>
              <w:bottom w:val="single" w:sz="4" w:space="0" w:color="000000"/>
            </w:tcBorders>
            <w:shd w:val="clear" w:color="auto" w:fill="808080"/>
          </w:tcPr>
          <w:p w14:paraId="1B85017E" w14:textId="77777777" w:rsidR="00642575" w:rsidRPr="00423888" w:rsidRDefault="00642575"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58970607" w14:textId="77777777" w:rsidR="00642575" w:rsidRPr="00423888" w:rsidRDefault="00642575"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642575" w:rsidRPr="00012360" w14:paraId="6CE5EE5C" w14:textId="77777777" w:rsidTr="00642575">
        <w:tc>
          <w:tcPr>
            <w:tcW w:w="3936" w:type="dxa"/>
            <w:shd w:val="pct12" w:color="auto" w:fill="auto"/>
          </w:tcPr>
          <w:p w14:paraId="0B8F3443" w14:textId="77777777" w:rsidR="00642575" w:rsidRPr="00423888" w:rsidRDefault="00642575"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0FD4AC62" w14:textId="77777777" w:rsidR="00642575" w:rsidRPr="00423888" w:rsidRDefault="00642575" w:rsidP="00AF2FCA">
            <w:pPr>
              <w:ind w:left="360" w:right="0"/>
              <w:rPr>
                <w:rFonts w:cs="Arial"/>
                <w:lang w:eastAsia="en-US"/>
              </w:rPr>
            </w:pPr>
            <w:r w:rsidRPr="000A75D3">
              <w:rPr>
                <w:rFonts w:cs="Arial"/>
                <w:highlight w:val="yellow"/>
                <w:lang w:eastAsia="en-US"/>
              </w:rPr>
              <w:t>Menzis</w:t>
            </w:r>
          </w:p>
        </w:tc>
      </w:tr>
      <w:tr w:rsidR="00642575" w:rsidRPr="00012360" w14:paraId="7B43E018" w14:textId="77777777" w:rsidTr="00642575">
        <w:tc>
          <w:tcPr>
            <w:tcW w:w="3936" w:type="dxa"/>
            <w:shd w:val="pct12" w:color="auto" w:fill="auto"/>
          </w:tcPr>
          <w:p w14:paraId="4BF6398E" w14:textId="77777777" w:rsidR="00642575" w:rsidRPr="00CD4C39" w:rsidRDefault="00642575"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400AD96C" w14:textId="77777777" w:rsidR="00642575" w:rsidRPr="00423888" w:rsidRDefault="00642575" w:rsidP="00AF2FCA">
            <w:pPr>
              <w:ind w:left="360" w:right="0"/>
              <w:rPr>
                <w:rFonts w:cs="Arial"/>
                <w:lang w:eastAsia="en-US"/>
              </w:rPr>
            </w:pPr>
            <w:proofErr w:type="spellStart"/>
            <w:r w:rsidRPr="000A75D3">
              <w:rPr>
                <w:rFonts w:cs="Arial"/>
                <w:highlight w:val="yellow"/>
                <w:lang w:eastAsia="en-US"/>
              </w:rPr>
              <w:t>Anderzorg</w:t>
            </w:r>
            <w:proofErr w:type="spellEnd"/>
          </w:p>
        </w:tc>
      </w:tr>
    </w:tbl>
    <w:p w14:paraId="75F8ED14" w14:textId="77777777" w:rsidR="00B66A25" w:rsidRPr="00423888" w:rsidRDefault="00B66A25" w:rsidP="00F25306">
      <w:pPr>
        <w:ind w:left="360" w:right="0"/>
        <w:rPr>
          <w:rFonts w:cs="Arial"/>
          <w:lang w:eastAsia="en-US"/>
        </w:rPr>
      </w:pPr>
    </w:p>
    <w:p w14:paraId="69AC1BEA" w14:textId="77777777" w:rsidR="00B66A25" w:rsidRPr="00423888" w:rsidRDefault="00B66A25" w:rsidP="00F25306">
      <w:pPr>
        <w:ind w:left="360" w:right="0"/>
        <w:rPr>
          <w:rFonts w:cs="Arial"/>
          <w:lang w:eastAsia="en-US"/>
        </w:rPr>
      </w:pPr>
    </w:p>
    <w:p w14:paraId="0AB7BF65"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463641EF" w14:textId="77777777" w:rsidR="00B66A25" w:rsidRPr="00423888" w:rsidRDefault="00B66A25" w:rsidP="00F25306">
      <w:pPr>
        <w:ind w:left="360" w:right="0"/>
        <w:rPr>
          <w:rFonts w:cs="Arial"/>
          <w:b/>
          <w:lang w:eastAsia="en-US"/>
        </w:rPr>
      </w:pPr>
    </w:p>
    <w:p w14:paraId="2A8C492A"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1EB12AF0" w14:textId="77777777" w:rsidTr="006F1F00">
        <w:tc>
          <w:tcPr>
            <w:tcW w:w="2794" w:type="dxa"/>
            <w:tcBorders>
              <w:bottom w:val="single" w:sz="4" w:space="0" w:color="000000"/>
            </w:tcBorders>
            <w:shd w:val="clear" w:color="auto" w:fill="808080"/>
          </w:tcPr>
          <w:p w14:paraId="62DF93D7"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3637992A"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0DFBB5FB"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0C8109DF"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4D645F84"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1C214703" w14:textId="77777777" w:rsidTr="006F1F00">
        <w:tc>
          <w:tcPr>
            <w:tcW w:w="2794" w:type="dxa"/>
            <w:shd w:val="clear" w:color="auto" w:fill="auto"/>
          </w:tcPr>
          <w:p w14:paraId="0DC906D1"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74173A4B" w14:textId="77777777" w:rsidR="00B66A25" w:rsidRPr="00423888" w:rsidRDefault="00E42461" w:rsidP="00F25306">
            <w:pPr>
              <w:keepNext/>
              <w:keepLines/>
              <w:ind w:left="360" w:right="0"/>
              <w:jc w:val="center"/>
              <w:rPr>
                <w:rFonts w:cs="Arial"/>
                <w:lang w:eastAsia="en-US"/>
              </w:rPr>
            </w:pPr>
            <w:r w:rsidRPr="00384069">
              <w:rPr>
                <w:rFonts w:cs="Arial"/>
                <w:highlight w:val="yellow"/>
                <w:lang w:eastAsia="en-US"/>
              </w:rPr>
              <w:t>X</w:t>
            </w:r>
          </w:p>
        </w:tc>
        <w:tc>
          <w:tcPr>
            <w:tcW w:w="1895" w:type="dxa"/>
            <w:shd w:val="pct12" w:color="auto" w:fill="auto"/>
          </w:tcPr>
          <w:p w14:paraId="3A243C31" w14:textId="77777777" w:rsidR="00B66A25" w:rsidRPr="00423888" w:rsidRDefault="00E42461" w:rsidP="00F25306">
            <w:pPr>
              <w:keepNext/>
              <w:keepLines/>
              <w:ind w:left="360" w:right="0"/>
              <w:jc w:val="center"/>
              <w:rPr>
                <w:rFonts w:cs="Arial"/>
                <w:lang w:eastAsia="en-US"/>
              </w:rPr>
            </w:pPr>
            <w:r w:rsidRPr="00384069">
              <w:rPr>
                <w:rFonts w:cs="Arial"/>
                <w:highlight w:val="yellow"/>
                <w:lang w:eastAsia="en-US"/>
              </w:rPr>
              <w:t>X</w:t>
            </w:r>
          </w:p>
        </w:tc>
        <w:tc>
          <w:tcPr>
            <w:tcW w:w="1843" w:type="dxa"/>
            <w:shd w:val="pct12" w:color="auto" w:fill="auto"/>
          </w:tcPr>
          <w:p w14:paraId="1B2601D7" w14:textId="77777777" w:rsidR="00B66A25" w:rsidRPr="00423888" w:rsidRDefault="00B66A25" w:rsidP="00F25306">
            <w:pPr>
              <w:keepNext/>
              <w:keepLines/>
              <w:ind w:left="360" w:right="0"/>
              <w:rPr>
                <w:rFonts w:cs="Arial"/>
                <w:lang w:eastAsia="en-US"/>
              </w:rPr>
            </w:pPr>
          </w:p>
        </w:tc>
      </w:tr>
      <w:tr w:rsidR="00B66A25" w:rsidRPr="00012360" w14:paraId="5236C3B8" w14:textId="77777777" w:rsidTr="006F1F00">
        <w:tc>
          <w:tcPr>
            <w:tcW w:w="2794" w:type="dxa"/>
            <w:shd w:val="clear" w:color="auto" w:fill="auto"/>
          </w:tcPr>
          <w:p w14:paraId="43ADF084"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02F0DB2A"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6D147A40"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5A2D899"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135C2CFE" w14:textId="77777777" w:rsidR="00B66A25" w:rsidRPr="00423888" w:rsidRDefault="00B66A25" w:rsidP="00F25306">
            <w:pPr>
              <w:keepNext/>
              <w:keepLines/>
              <w:ind w:left="360" w:right="0"/>
              <w:rPr>
                <w:rFonts w:cs="Arial"/>
                <w:lang w:eastAsia="en-US"/>
              </w:rPr>
            </w:pPr>
          </w:p>
        </w:tc>
      </w:tr>
      <w:tr w:rsidR="00B66A25" w:rsidRPr="00012360" w14:paraId="408B33BE" w14:textId="77777777" w:rsidTr="006F1F00">
        <w:tc>
          <w:tcPr>
            <w:tcW w:w="2794" w:type="dxa"/>
            <w:shd w:val="clear" w:color="auto" w:fill="auto"/>
          </w:tcPr>
          <w:p w14:paraId="19FF5392"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7335C6D4"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71199518"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D79B113" w14:textId="77777777" w:rsidR="00B66A25" w:rsidRPr="00423888" w:rsidRDefault="00B66A25" w:rsidP="00F25306">
            <w:pPr>
              <w:keepNext/>
              <w:keepLines/>
              <w:ind w:left="360" w:right="0"/>
              <w:rPr>
                <w:rFonts w:cs="Arial"/>
                <w:lang w:eastAsia="en-US"/>
              </w:rPr>
            </w:pPr>
          </w:p>
        </w:tc>
      </w:tr>
      <w:tr w:rsidR="00B66A25" w:rsidRPr="00012360" w14:paraId="0ED87858" w14:textId="77777777" w:rsidTr="006F1F00">
        <w:tc>
          <w:tcPr>
            <w:tcW w:w="2794" w:type="dxa"/>
            <w:shd w:val="clear" w:color="auto" w:fill="auto"/>
          </w:tcPr>
          <w:p w14:paraId="374CD405"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196E8F0C"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17280EC"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60C8B519" w14:textId="77777777" w:rsidR="00B66A25" w:rsidRPr="00423888" w:rsidRDefault="00B66A25" w:rsidP="00F25306">
            <w:pPr>
              <w:keepNext/>
              <w:keepLines/>
              <w:ind w:left="360" w:right="0"/>
              <w:rPr>
                <w:rFonts w:cs="Arial"/>
                <w:lang w:eastAsia="en-US"/>
              </w:rPr>
            </w:pPr>
          </w:p>
        </w:tc>
      </w:tr>
    </w:tbl>
    <w:p w14:paraId="218D8FE7" w14:textId="77777777" w:rsidR="00B66A25" w:rsidRPr="00423888" w:rsidRDefault="00B66A25" w:rsidP="00F25306">
      <w:pPr>
        <w:ind w:left="360" w:right="0"/>
        <w:rPr>
          <w:rFonts w:cs="Arial"/>
          <w:b/>
          <w:lang w:val="x-none" w:eastAsia="en-US"/>
        </w:rPr>
      </w:pPr>
    </w:p>
    <w:p w14:paraId="4ED652C8" w14:textId="77777777" w:rsidR="00B66A25" w:rsidRPr="00423888" w:rsidRDefault="00B66A25" w:rsidP="00423888">
      <w:pPr>
        <w:ind w:left="360" w:right="0"/>
        <w:rPr>
          <w:rFonts w:cs="Arial"/>
          <w:b/>
          <w:lang w:val="x-none" w:eastAsia="en-US"/>
        </w:rPr>
      </w:pPr>
    </w:p>
    <w:p w14:paraId="0F328F89" w14:textId="77777777" w:rsidR="00B66A25" w:rsidRPr="009C429F" w:rsidRDefault="00B66A25" w:rsidP="009C429F">
      <w:pPr>
        <w:pStyle w:val="Lijstalinea"/>
        <w:ind w:left="357" w:right="0"/>
        <w:rPr>
          <w:rFonts w:cs="Arial"/>
          <w:lang w:val="x-none" w:eastAsia="en-US"/>
        </w:rPr>
      </w:pPr>
    </w:p>
    <w:sectPr w:rsidR="00B66A25" w:rsidRPr="009C42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E3C4" w14:textId="77777777" w:rsidR="00FC005F" w:rsidRDefault="00FC005F" w:rsidP="00FC005F">
      <w:pPr>
        <w:spacing w:line="240" w:lineRule="auto"/>
      </w:pPr>
      <w:r>
        <w:separator/>
      </w:r>
    </w:p>
  </w:endnote>
  <w:endnote w:type="continuationSeparator" w:id="0">
    <w:p w14:paraId="1BE0A5EE" w14:textId="77777777" w:rsidR="00FC005F" w:rsidRDefault="00FC005F" w:rsidP="00FC0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6975" w14:textId="77777777" w:rsidR="00B5421A" w:rsidRDefault="00B542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DDF8" w14:textId="77777777" w:rsidR="00B5421A" w:rsidRDefault="00B542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9BC0" w14:textId="77777777" w:rsidR="00B5421A" w:rsidRDefault="00B542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4F00" w14:textId="77777777" w:rsidR="00FC005F" w:rsidRDefault="00FC005F" w:rsidP="00FC005F">
      <w:pPr>
        <w:spacing w:line="240" w:lineRule="auto"/>
      </w:pPr>
      <w:r>
        <w:separator/>
      </w:r>
    </w:p>
  </w:footnote>
  <w:footnote w:type="continuationSeparator" w:id="0">
    <w:p w14:paraId="224BA08C" w14:textId="77777777" w:rsidR="00FC005F" w:rsidRDefault="00FC005F" w:rsidP="00FC0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920" w14:textId="72EE08F9" w:rsidR="00B5421A" w:rsidRDefault="00B5421A">
    <w:pPr>
      <w:pStyle w:val="Koptekst"/>
    </w:pPr>
    <w:r>
      <w:rPr>
        <w:noProof/>
      </w:rPr>
      <w:pict w14:anchorId="646E3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8516" o:spid="_x0000_s16386"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A081" w14:textId="78878236" w:rsidR="00FC005F" w:rsidRDefault="00B5421A">
    <w:pPr>
      <w:pStyle w:val="Koptekst"/>
    </w:pPr>
    <w:r>
      <w:rPr>
        <w:noProof/>
      </w:rPr>
      <w:pict w14:anchorId="6AE89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8517" o:spid="_x0000_s16387"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r w:rsidR="006F1F00">
      <w:rPr>
        <w:noProof/>
      </w:rPr>
      <w:drawing>
        <wp:anchor distT="0" distB="0" distL="114300" distR="114300" simplePos="0" relativeHeight="251657216" behindDoc="0" locked="0" layoutInCell="1" allowOverlap="1" wp14:anchorId="16C656FC" wp14:editId="2AC28BFB">
          <wp:simplePos x="0" y="0"/>
          <wp:positionH relativeFrom="margin">
            <wp:posOffset>4338955</wp:posOffset>
          </wp:positionH>
          <wp:positionV relativeFrom="page">
            <wp:posOffset>76200</wp:posOffset>
          </wp:positionV>
          <wp:extent cx="2316480" cy="800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57" t="-1954" r="-5757" b="19922"/>
                  <a:stretch/>
                </pic:blipFill>
                <pic:spPr bwMode="auto">
                  <a:xfrm>
                    <a:off x="0" y="0"/>
                    <a:ext cx="2316480"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A525" w14:textId="3E4205F0" w:rsidR="00B5421A" w:rsidRDefault="00B5421A">
    <w:pPr>
      <w:pStyle w:val="Koptekst"/>
    </w:pPr>
    <w:r>
      <w:rPr>
        <w:noProof/>
      </w:rPr>
      <w:pict w14:anchorId="4A5BC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8515" o:spid="_x0000_s16385"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1846363365">
    <w:abstractNumId w:val="0"/>
  </w:num>
  <w:num w:numId="2" w16cid:durableId="1106117229">
    <w:abstractNumId w:val="12"/>
  </w:num>
  <w:num w:numId="3" w16cid:durableId="738865921">
    <w:abstractNumId w:val="16"/>
  </w:num>
  <w:num w:numId="4" w16cid:durableId="1864048449">
    <w:abstractNumId w:val="16"/>
  </w:num>
  <w:num w:numId="5" w16cid:durableId="900365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263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298562">
    <w:abstractNumId w:val="16"/>
  </w:num>
  <w:num w:numId="8" w16cid:durableId="1250502236">
    <w:abstractNumId w:val="16"/>
    <w:lvlOverride w:ilvl="0">
      <w:startOverride w:val="1"/>
    </w:lvlOverride>
  </w:num>
  <w:num w:numId="9" w16cid:durableId="1915432345">
    <w:abstractNumId w:val="11"/>
    <w:lvlOverride w:ilvl="0"/>
    <w:lvlOverride w:ilvl="1">
      <w:startOverride w:val="1"/>
    </w:lvlOverride>
    <w:lvlOverride w:ilvl="2"/>
    <w:lvlOverride w:ilvl="3"/>
    <w:lvlOverride w:ilvl="4"/>
    <w:lvlOverride w:ilvl="5"/>
    <w:lvlOverride w:ilvl="6"/>
    <w:lvlOverride w:ilvl="7"/>
    <w:lvlOverride w:ilvl="8"/>
  </w:num>
  <w:num w:numId="10" w16cid:durableId="831679363">
    <w:abstractNumId w:val="16"/>
    <w:lvlOverride w:ilvl="0">
      <w:startOverride w:val="1"/>
    </w:lvlOverride>
  </w:num>
  <w:num w:numId="11" w16cid:durableId="39672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0715103">
    <w:abstractNumId w:val="16"/>
  </w:num>
  <w:num w:numId="13" w16cid:durableId="440078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617848">
    <w:abstractNumId w:val="4"/>
  </w:num>
  <w:num w:numId="15" w16cid:durableId="1098721971">
    <w:abstractNumId w:val="5"/>
  </w:num>
  <w:num w:numId="16" w16cid:durableId="1014578642">
    <w:abstractNumId w:val="17"/>
  </w:num>
  <w:num w:numId="17" w16cid:durableId="27145850">
    <w:abstractNumId w:val="8"/>
  </w:num>
  <w:num w:numId="18" w16cid:durableId="1411463710">
    <w:abstractNumId w:val="6"/>
  </w:num>
  <w:num w:numId="19" w16cid:durableId="697237999">
    <w:abstractNumId w:val="11"/>
  </w:num>
  <w:num w:numId="20" w16cid:durableId="687753921">
    <w:abstractNumId w:val="9"/>
  </w:num>
  <w:num w:numId="21" w16cid:durableId="209151979">
    <w:abstractNumId w:val="14"/>
  </w:num>
  <w:num w:numId="22" w16cid:durableId="499274109">
    <w:abstractNumId w:val="2"/>
  </w:num>
  <w:num w:numId="23" w16cid:durableId="959797887">
    <w:abstractNumId w:val="1"/>
  </w:num>
  <w:num w:numId="24" w16cid:durableId="1871842920">
    <w:abstractNumId w:val="15"/>
  </w:num>
  <w:num w:numId="25" w16cid:durableId="661203724">
    <w:abstractNumId w:val="13"/>
  </w:num>
  <w:num w:numId="26" w16cid:durableId="1266576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41"/>
    <w:rsid w:val="00010667"/>
    <w:rsid w:val="00012EE1"/>
    <w:rsid w:val="00026777"/>
    <w:rsid w:val="00032B8B"/>
    <w:rsid w:val="00046AA9"/>
    <w:rsid w:val="0005156D"/>
    <w:rsid w:val="00051FFE"/>
    <w:rsid w:val="00057B32"/>
    <w:rsid w:val="00066EED"/>
    <w:rsid w:val="00070B1E"/>
    <w:rsid w:val="000B3A15"/>
    <w:rsid w:val="000C49E1"/>
    <w:rsid w:val="000C53B6"/>
    <w:rsid w:val="000D1ABF"/>
    <w:rsid w:val="000D696E"/>
    <w:rsid w:val="000E4EB4"/>
    <w:rsid w:val="00105E6A"/>
    <w:rsid w:val="00106EE4"/>
    <w:rsid w:val="00133D48"/>
    <w:rsid w:val="00140FB9"/>
    <w:rsid w:val="00160172"/>
    <w:rsid w:val="001609C9"/>
    <w:rsid w:val="001803F1"/>
    <w:rsid w:val="001942D0"/>
    <w:rsid w:val="001A0C8A"/>
    <w:rsid w:val="001B2561"/>
    <w:rsid w:val="001C4F7F"/>
    <w:rsid w:val="001E69B5"/>
    <w:rsid w:val="0020435F"/>
    <w:rsid w:val="00205C06"/>
    <w:rsid w:val="00210291"/>
    <w:rsid w:val="002131B0"/>
    <w:rsid w:val="0023305B"/>
    <w:rsid w:val="0023428A"/>
    <w:rsid w:val="00237035"/>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00FF"/>
    <w:rsid w:val="002E456A"/>
    <w:rsid w:val="002E4E02"/>
    <w:rsid w:val="002E68F1"/>
    <w:rsid w:val="002F68B9"/>
    <w:rsid w:val="00302C0E"/>
    <w:rsid w:val="0032199A"/>
    <w:rsid w:val="0035220E"/>
    <w:rsid w:val="003658D6"/>
    <w:rsid w:val="003774DA"/>
    <w:rsid w:val="00384069"/>
    <w:rsid w:val="003867C2"/>
    <w:rsid w:val="003970F6"/>
    <w:rsid w:val="00397BE9"/>
    <w:rsid w:val="003A3CC2"/>
    <w:rsid w:val="003B1A53"/>
    <w:rsid w:val="003B4889"/>
    <w:rsid w:val="003D3465"/>
    <w:rsid w:val="003E0F2C"/>
    <w:rsid w:val="003E1D41"/>
    <w:rsid w:val="003E562C"/>
    <w:rsid w:val="003F2EF9"/>
    <w:rsid w:val="003F552B"/>
    <w:rsid w:val="004014B0"/>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034A"/>
    <w:rsid w:val="004A2394"/>
    <w:rsid w:val="004A346B"/>
    <w:rsid w:val="004A7C31"/>
    <w:rsid w:val="004B164B"/>
    <w:rsid w:val="004B303F"/>
    <w:rsid w:val="004C1448"/>
    <w:rsid w:val="004C3348"/>
    <w:rsid w:val="004C3A6D"/>
    <w:rsid w:val="004C43E0"/>
    <w:rsid w:val="004E72AF"/>
    <w:rsid w:val="004E7F50"/>
    <w:rsid w:val="004F3533"/>
    <w:rsid w:val="0050629A"/>
    <w:rsid w:val="00520686"/>
    <w:rsid w:val="0053091B"/>
    <w:rsid w:val="00535C92"/>
    <w:rsid w:val="00566169"/>
    <w:rsid w:val="00575BDB"/>
    <w:rsid w:val="005908F6"/>
    <w:rsid w:val="00596359"/>
    <w:rsid w:val="005A7A57"/>
    <w:rsid w:val="005C7E31"/>
    <w:rsid w:val="005E7805"/>
    <w:rsid w:val="005F5F8A"/>
    <w:rsid w:val="00607C93"/>
    <w:rsid w:val="00617F29"/>
    <w:rsid w:val="00622857"/>
    <w:rsid w:val="00632F3C"/>
    <w:rsid w:val="00633812"/>
    <w:rsid w:val="00642575"/>
    <w:rsid w:val="006528E5"/>
    <w:rsid w:val="006615DD"/>
    <w:rsid w:val="006707C1"/>
    <w:rsid w:val="00681138"/>
    <w:rsid w:val="00683D8E"/>
    <w:rsid w:val="0068657D"/>
    <w:rsid w:val="006914B3"/>
    <w:rsid w:val="0069168C"/>
    <w:rsid w:val="006A5D5B"/>
    <w:rsid w:val="006A7A9A"/>
    <w:rsid w:val="006B3C5D"/>
    <w:rsid w:val="006B56F3"/>
    <w:rsid w:val="006B72D5"/>
    <w:rsid w:val="006C3265"/>
    <w:rsid w:val="006D7508"/>
    <w:rsid w:val="006F1F00"/>
    <w:rsid w:val="006F2C8E"/>
    <w:rsid w:val="007038AC"/>
    <w:rsid w:val="00715552"/>
    <w:rsid w:val="00735B7A"/>
    <w:rsid w:val="00755E86"/>
    <w:rsid w:val="00765E58"/>
    <w:rsid w:val="00787413"/>
    <w:rsid w:val="007A249A"/>
    <w:rsid w:val="007E7981"/>
    <w:rsid w:val="007F02C5"/>
    <w:rsid w:val="00800EFF"/>
    <w:rsid w:val="00814057"/>
    <w:rsid w:val="0081663D"/>
    <w:rsid w:val="00816BB4"/>
    <w:rsid w:val="00817AFF"/>
    <w:rsid w:val="00820AFC"/>
    <w:rsid w:val="008244D5"/>
    <w:rsid w:val="00864202"/>
    <w:rsid w:val="0086468F"/>
    <w:rsid w:val="00865F91"/>
    <w:rsid w:val="00872936"/>
    <w:rsid w:val="00875ED6"/>
    <w:rsid w:val="0087792B"/>
    <w:rsid w:val="0088229C"/>
    <w:rsid w:val="00891C0D"/>
    <w:rsid w:val="008A4107"/>
    <w:rsid w:val="008A4D50"/>
    <w:rsid w:val="008B536F"/>
    <w:rsid w:val="008C47B4"/>
    <w:rsid w:val="008E080B"/>
    <w:rsid w:val="008E3C1F"/>
    <w:rsid w:val="008E5190"/>
    <w:rsid w:val="008E66BC"/>
    <w:rsid w:val="008F1FF9"/>
    <w:rsid w:val="00923B00"/>
    <w:rsid w:val="009356AB"/>
    <w:rsid w:val="00966E57"/>
    <w:rsid w:val="00977C8B"/>
    <w:rsid w:val="009A4975"/>
    <w:rsid w:val="009B7CF9"/>
    <w:rsid w:val="009C429F"/>
    <w:rsid w:val="009C5300"/>
    <w:rsid w:val="009E093E"/>
    <w:rsid w:val="009F47B3"/>
    <w:rsid w:val="00A003DB"/>
    <w:rsid w:val="00A0653A"/>
    <w:rsid w:val="00A21F0D"/>
    <w:rsid w:val="00A2537B"/>
    <w:rsid w:val="00A2607A"/>
    <w:rsid w:val="00A26EF7"/>
    <w:rsid w:val="00A3138B"/>
    <w:rsid w:val="00A41000"/>
    <w:rsid w:val="00A521AC"/>
    <w:rsid w:val="00A5618F"/>
    <w:rsid w:val="00A71C75"/>
    <w:rsid w:val="00A74C12"/>
    <w:rsid w:val="00A91217"/>
    <w:rsid w:val="00AA41AC"/>
    <w:rsid w:val="00AA5B1B"/>
    <w:rsid w:val="00AA7F84"/>
    <w:rsid w:val="00AB4674"/>
    <w:rsid w:val="00AC40C4"/>
    <w:rsid w:val="00AD40F8"/>
    <w:rsid w:val="00AE73AD"/>
    <w:rsid w:val="00AF02BC"/>
    <w:rsid w:val="00B03077"/>
    <w:rsid w:val="00B07BE8"/>
    <w:rsid w:val="00B210E1"/>
    <w:rsid w:val="00B26871"/>
    <w:rsid w:val="00B504BA"/>
    <w:rsid w:val="00B5421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D9F"/>
    <w:rsid w:val="00BE3D0D"/>
    <w:rsid w:val="00BF3E73"/>
    <w:rsid w:val="00C03F7B"/>
    <w:rsid w:val="00C05748"/>
    <w:rsid w:val="00C110E8"/>
    <w:rsid w:val="00C118F0"/>
    <w:rsid w:val="00C225F0"/>
    <w:rsid w:val="00C242D0"/>
    <w:rsid w:val="00C25272"/>
    <w:rsid w:val="00C31D3C"/>
    <w:rsid w:val="00C37175"/>
    <w:rsid w:val="00C52A31"/>
    <w:rsid w:val="00C64C21"/>
    <w:rsid w:val="00C6780D"/>
    <w:rsid w:val="00C67D5D"/>
    <w:rsid w:val="00C80393"/>
    <w:rsid w:val="00C824DE"/>
    <w:rsid w:val="00CA093C"/>
    <w:rsid w:val="00CA7E93"/>
    <w:rsid w:val="00CC233D"/>
    <w:rsid w:val="00CC4DC6"/>
    <w:rsid w:val="00CD1307"/>
    <w:rsid w:val="00CD2269"/>
    <w:rsid w:val="00CD2511"/>
    <w:rsid w:val="00CD4C39"/>
    <w:rsid w:val="00CE55D2"/>
    <w:rsid w:val="00CE7D72"/>
    <w:rsid w:val="00D05B3D"/>
    <w:rsid w:val="00D17778"/>
    <w:rsid w:val="00D23113"/>
    <w:rsid w:val="00D26ECE"/>
    <w:rsid w:val="00D35678"/>
    <w:rsid w:val="00D422DA"/>
    <w:rsid w:val="00D47C71"/>
    <w:rsid w:val="00D613B3"/>
    <w:rsid w:val="00D73992"/>
    <w:rsid w:val="00D84B88"/>
    <w:rsid w:val="00D944F2"/>
    <w:rsid w:val="00D961E3"/>
    <w:rsid w:val="00DA7656"/>
    <w:rsid w:val="00DB5733"/>
    <w:rsid w:val="00DC7703"/>
    <w:rsid w:val="00DD0925"/>
    <w:rsid w:val="00DD0A91"/>
    <w:rsid w:val="00DE26EE"/>
    <w:rsid w:val="00DE5578"/>
    <w:rsid w:val="00DE6FAF"/>
    <w:rsid w:val="00DF7461"/>
    <w:rsid w:val="00DF7918"/>
    <w:rsid w:val="00DF7EB4"/>
    <w:rsid w:val="00E170B9"/>
    <w:rsid w:val="00E20D46"/>
    <w:rsid w:val="00E24B9E"/>
    <w:rsid w:val="00E25696"/>
    <w:rsid w:val="00E3036A"/>
    <w:rsid w:val="00E35277"/>
    <w:rsid w:val="00E42461"/>
    <w:rsid w:val="00E64EBD"/>
    <w:rsid w:val="00E81511"/>
    <w:rsid w:val="00E82F82"/>
    <w:rsid w:val="00E83FC1"/>
    <w:rsid w:val="00E93AAA"/>
    <w:rsid w:val="00E96474"/>
    <w:rsid w:val="00EA2023"/>
    <w:rsid w:val="00EB46DA"/>
    <w:rsid w:val="00EC79F7"/>
    <w:rsid w:val="00ED39A0"/>
    <w:rsid w:val="00EE021A"/>
    <w:rsid w:val="00EE42E2"/>
    <w:rsid w:val="00F15515"/>
    <w:rsid w:val="00F15AA1"/>
    <w:rsid w:val="00F236FE"/>
    <w:rsid w:val="00F25306"/>
    <w:rsid w:val="00F323A0"/>
    <w:rsid w:val="00F375FD"/>
    <w:rsid w:val="00F402D1"/>
    <w:rsid w:val="00F40403"/>
    <w:rsid w:val="00F44E38"/>
    <w:rsid w:val="00F66D84"/>
    <w:rsid w:val="00F72693"/>
    <w:rsid w:val="00F752BD"/>
    <w:rsid w:val="00F90874"/>
    <w:rsid w:val="00FA0880"/>
    <w:rsid w:val="00FC005F"/>
    <w:rsid w:val="00FF518B"/>
    <w:rsid w:val="00FF7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4AEE4495"/>
  <w15:docId w15:val="{75E5E5A7-6A0A-45BD-BF30-1240AAFE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FC005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C005F"/>
    <w:rPr>
      <w:rFonts w:eastAsia="Times New Roman" w:cs="Times New Roman"/>
      <w:color w:val="auto"/>
      <w:szCs w:val="20"/>
      <w:lang w:eastAsia="nl-NL"/>
    </w:rPr>
  </w:style>
  <w:style w:type="paragraph" w:styleId="Voettekst">
    <w:name w:val="footer"/>
    <w:basedOn w:val="Standaard"/>
    <w:link w:val="VoettekstChar"/>
    <w:uiPriority w:val="99"/>
    <w:unhideWhenUsed/>
    <w:rsid w:val="00FC005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C005F"/>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74F92-B999-4453-A53F-611D375CE1A9}">
  <ds:schemaRefs>
    <ds:schemaRef ds:uri="http://schemas.openxmlformats.org/officeDocument/2006/bibliography"/>
  </ds:schemaRefs>
</ds:datastoreItem>
</file>

<file path=customXml/itemProps2.xml><?xml version="1.0" encoding="utf-8"?>
<ds:datastoreItem xmlns:ds="http://schemas.openxmlformats.org/officeDocument/2006/customXml" ds:itemID="{0C40D74D-93C2-434A-9964-A168552A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EA1EC-26A4-4853-B741-086F8EF28CE5}">
  <ds:schemaRefs>
    <ds:schemaRef ds:uri="http://purl.org/dc/elements/1.1/"/>
    <ds:schemaRef ds:uri="http://schemas.microsoft.com/office/2006/documentManagement/types"/>
    <ds:schemaRef ds:uri="de79c283-6777-4021-9fc0-68368c8b0e50"/>
    <ds:schemaRef ds:uri="http://purl.org/dc/terms/"/>
    <ds:schemaRef ds:uri="http://schemas.openxmlformats.org/package/2006/metadata/core-properties"/>
    <ds:schemaRef ds:uri="http://purl.org/dc/dcmitype/"/>
    <ds:schemaRef ds:uri="http://schemas.microsoft.com/office/infopath/2007/PartnerControls"/>
    <ds:schemaRef ds:uri="7662dec7-40a4-4bf3-9ef4-bf7f4cfe6c2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690F48-D0D0-40A4-B851-A270ABB53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2685</Words>
  <Characters>14770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20</cp:revision>
  <cp:lastPrinted>2020-06-15T13:42:00Z</cp:lastPrinted>
  <dcterms:created xsi:type="dcterms:W3CDTF">2018-04-18T14:30:00Z</dcterms:created>
  <dcterms:modified xsi:type="dcterms:W3CDTF">2023-05-10T12:00:00Z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